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9C" w:rsidRDefault="00EB6F9C" w:rsidP="00EB6F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Памятка </w:t>
      </w:r>
      <w:bookmarkStart w:id="0" w:name="_GoBack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 правилах проведения ГИА в </w:t>
      </w:r>
      <w:r>
        <w:rPr>
          <w:rFonts w:ascii="Times" w:hAnsi="Times" w:cs="Times"/>
          <w:b/>
          <w:bCs/>
          <w:sz w:val="28"/>
          <w:szCs w:val="28"/>
        </w:rPr>
        <w:t xml:space="preserve">2025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году</w:t>
      </w:r>
      <w:bookmarkEnd w:id="0"/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18"/>
          <w:szCs w:val="18"/>
        </w:rPr>
      </w:pPr>
    </w:p>
    <w:p w:rsidR="00EB6F9C" w:rsidRDefault="00EB6F9C" w:rsidP="00EB6F9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Общая информация о порядке проведении ГИА: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1. В целях обеспечения безопасности и порядка, предотвращения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нарушения порядка проведения ГИА пункты проведения экзаменов (ППЭ)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оборудованы стационарными и (или) переносными металлоискателями,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видеонаблюдения, средствами подавления сигналов подвижной связи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 (ОИВ).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2. ГИА по всем учебным предметам начинается в 10.00 по местному времени.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3. Результаты экзаменов по каждому учебному предмету утверждаются,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изменяются и (или) аннулируются председателем государственной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комиссии субъекта Российской Федерации (ГЭК). Изменение результатов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случае удовлетворения апелляции о несогласии с выставленными баллами, поданной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участником экзамена. Аннулирование результатов возможно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нарушений порядка проведения ГИА или удовлетворения апелляции о нарушении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проведения ГИА, поданной участником экзамена.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4. Результаты ГИА признаются удовлетворительными, а участники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признаются успешно прошедшими ГИА в случае, если участник ГИА по сдаваемым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учебным предметам набрал минимальное количество первичных баллов,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ОИВ.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5. Результаты ГИА в течение одного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получения результатов проверки экзаменационных работ, утверждаются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ГЭК. После утверждения результаты ГИА в течение одного рабочего дня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образовательные организации для ознакомления участников ГИА 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председателем ГЭК результатами ГИА.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6. Ознакомление участников ГИА с утвержденными председателем ГЭК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результатами ГИА по учебному предмету осуществляется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со дня их передачи в образовательные организации. Указанный день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официальным днем объявления результатов.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ГИА: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прибывает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09.00 по местному времени.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данный ППЭ.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Если участник экзамена опоздал на экзамен (экзамены по всем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предметам начинаются в 10.00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экзамена, при этом время окончания экзамена, зафиксированное 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аудитории нет других участников ГИА), о чем сообщается участнику ГИА.</w:t>
      </w:r>
      <w:proofErr w:type="gramEnd"/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 случае проведения ОГЭ по учебному предмету, спецификацией 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 которому предусмотрено прослушивание текста, записанного на аудионоситель,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опоздавшего участника ГИА в аудиторию во время прослушивания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аудиозаписи другими участниками ГИА, находящимися в данной аудитории,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не осуществляется (за исключением случаев, когда в аудитории нет других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ГИА или когда участники ГИА в аудитории завершили прослушивание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аудиозаписи).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Персональное прослушивание соответствующей </w:t>
      </w:r>
      <w:r w:rsidRPr="00EB6F9C">
        <w:rPr>
          <w:rFonts w:ascii="Times New Roman" w:hAnsi="Times New Roman" w:cs="Times New Roman"/>
          <w:sz w:val="28"/>
          <w:szCs w:val="28"/>
        </w:rPr>
        <w:lastRenderedPageBreak/>
        <w:t>аудиозаписи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опоздавшего участника ГИА не проводится (за исключением случаев, когда в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нет других участников ГИА).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 случае если в течение двух часов от начала экзамена (экзамены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учебным предметам начинаются в 10.00 по местному времени) ни один из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ГИА, распределенных в ППЭ и (или) отдельные аудитории ППЭ, не явился в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ППЭ.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По факту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который в тот же день передается председателю ГЭК для принятия решения о повторном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допуске таких участников ГИА к сдаче экзамена по соответствующему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резервные сроки.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6. В случае отсутствия по объективным причинам у участника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документа, удостоверяющего личность, он допускается в ППЭ после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подтверждения его личности сопровождающим от образовательной организации.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4.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выполнять экзаменационную работу несамостоятельно, в том числе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посторонних лиц;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хранения и передачи информации (за исключением средств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разрешенных к использованию для выполнения заданий КИМ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учебным предметам);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выносить из аудиторий и ППЭ черновики, экзаменационные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 бумажном и (или) электронном носителях;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фотографировать экзаменационные материалы, черновики.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b/>
          <w:bCs/>
          <w:sz w:val="28"/>
          <w:szCs w:val="28"/>
        </w:rPr>
        <w:t>Частью 4 статьи 19.30 Кодекса Российской Федерации об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правонарушениях предусмотрена административная ответственность. Умышленное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искажение результатов государственной итоговой аттестации, а равно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установленного законодательством об образовании порядка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аттестации, влечет наложение административного штрафа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на граждан в размере от трех тысяч до пяти тысяч рублей.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5. Рекомендуется взять с собой на экзамен только необходимые вещи.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Во время экзамена на рабочем столе участника ГИА помимо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материалов находятся: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B6F9C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B6F9C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EB6F9C" w:rsidRPr="00EB6F9C" w:rsidRDefault="00EB6F9C" w:rsidP="00EB6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3) средства обучения и воспитания, разрешенные к использованию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заданий КИМ по соответствующим учебным предметам;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4) лекарства (при необходимости);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5) продукты питания для дополнительного приема пищи (перекус), бутилированная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потребление не будут отвлекать других участников ГИА от выполнения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экзаменационной работы (при необходимости);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6) специальные технические средства (для лиц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здоровья, детей-инвалидов и инвалидов) (при необходимости);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lastRenderedPageBreak/>
        <w:t>7) черновики, выданные в ППЭ.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Иные личные вещи участники экзамена обязаны оставить в специально выделенном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 xml:space="preserve">в здании (комплексе зданий), где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ППЭ, до входа в ППЭ месте (помещении)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для хранения личных вещей участников экзамена.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6. Участники экзамена занимают рабочие места в аудитории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со списками распределения. Изменение рабочего места запрещено.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7.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 xml:space="preserve">Во время экзамена участникам экзамена запрещается: </w:t>
      </w:r>
      <w:r w:rsidRPr="00EB6F9C">
        <w:rPr>
          <w:rFonts w:ascii="Times New Roman" w:hAnsi="Times New Roman" w:cs="Times New Roman"/>
          <w:sz w:val="28"/>
          <w:szCs w:val="28"/>
        </w:rPr>
        <w:t>общаться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другом, свободно перемещаться по аудитории и ППЭ, выходить из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без разрешения организатора.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выходе из аудитории во время экзамена участник экзамена 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8. Участники экзамена, допустившие нарушение порядка проведения ГИА,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удаляются из ППЭ. Акт об удалении из ППЭ составляется в помещении 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ППЭ (Штаб ППЭ) в присутствии члена ГЭК, руководителя ППЭ, организатора,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общественного наблюдателя (при наличии). Для этого организаторы, руководитель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или общественные наблюдатели приглашают члена ГЭК, который составляет акт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об удалении из ППЭ и удаляет участников ГИА, нарушивших Порядок, из ППЭ.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Организатор ставит в соответствующем поле бланка участника ГИА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отметку. Акт об удалении из ППЭ составляется в двух экземплярах. Первый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акта выдается участнику ГИА, нарушившему Порядок, второй экземпляр в тот же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направляется в ГЭК для рассмотрения и последующего направления в РЦОИ для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при обработке экзаменационных работ.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9. Экзаменационная работа выполняется </w:t>
      </w:r>
      <w:proofErr w:type="spellStart"/>
      <w:r w:rsidRPr="00EB6F9C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EB6F9C">
        <w:rPr>
          <w:rFonts w:ascii="Times New Roman" w:hAnsi="Times New Roman" w:cs="Times New Roman"/>
          <w:sz w:val="28"/>
          <w:szCs w:val="28"/>
        </w:rPr>
        <w:t xml:space="preserve"> и (или) капиллярной ручкой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чернилами черного цвета. Экзаменационные работы, выполненные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письменными принадлежностями, не обрабатываются и не проверяются.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ГИА: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1. Участник экзамена может при выполнении работы использовать черновики,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 xml:space="preserve">выдаваемые в ППЭ, и делать пометки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2. Внимание! Записи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>, черновиках не обрабатываются и не проверяются.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3. В случае нехватки места в бланке для записи ответов участник ГИА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обратиться к организатору для получения дополнительного бланка.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4. Участник экзамена, который по состоянию здоровья или другим объективным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причинам не может завершить выполнение экзаменационной работы,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досрочно покинуть ППЭ.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этом организаторы сопровождают участника ГИА к медицинскому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приглашают члена ГЭК. При согласии участника ГИА досрочно завершить экзамен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ГЭК и медицинский работник составляют акт о досрочном завершении экзамена по</w:t>
      </w:r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объективным причинам. Организатор ставит в соответствующем поле бланка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ГИА, досрочно завершившего экзамен по объективным причинам, необходимую отметку.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Акт о досрочном завершении экзамена по объективным причинам является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 xml:space="preserve">подтверждающим уважительность причины </w:t>
      </w:r>
      <w:proofErr w:type="spellStart"/>
      <w:r w:rsidRPr="00EB6F9C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EB6F9C">
        <w:rPr>
          <w:rFonts w:ascii="Times New Roman" w:hAnsi="Times New Roman" w:cs="Times New Roman"/>
          <w:sz w:val="28"/>
          <w:szCs w:val="28"/>
        </w:rPr>
        <w:t xml:space="preserve"> выполнения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работы, и основанием повторного допуска такого участника ГИА к сдаче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 соответствующему учебному предмету в резервные сроки.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lastRenderedPageBreak/>
        <w:t>5. Участники экзаменов, досрочно завершившие выполнение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работы, могут покинуть ППЭ. Организаторы принимают у них все экзаменационные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материалы и черновики.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6. Участник экзамена имеет право подать апелляцию о нарушении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(или) о несогласии с выставленными баллами в апелляционную комиссию.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структуры заданий по учебным предметам, а также по вопросам, связанным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оцениванием результатов выполнения заданий КИМ с кратким ответом, с нарушением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участником экзамена требований Порядка, с неправильным заполнением бланков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дополнительных бланков.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Апелляционная комиссия не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рассмотрения апелляции информирует участников ГИА, подавших апелляции, о времени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месте их рассмотрения.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при желании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присутствуют при рассмотрении апелляции.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b/>
          <w:bCs/>
          <w:sz w:val="28"/>
          <w:szCs w:val="28"/>
        </w:rPr>
        <w:t>Апелляцию о нарушении Порядка участник экзамена подает в день проведения</w:t>
      </w:r>
      <w:r w:rsidR="00603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экзамена члену ГЭК, не покидая ППЭ.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 целях проверки изложенных в указанной апелляции сведений о нарушении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технических специалистов, специалистов по проведению инструктажа и обеспечению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лабораторных работ (при наличии), экзаменаторов-собеседников (при наличии),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экспертов, оценивающих выполнение лабораторных работ (при наличии), не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задействованных в аудитории, в которой сдавал экзамен участник ГИА, подавший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указанную апелляцию, общественных наблюдателей (при наличии), сотрудников,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охрану правопорядка, медицинских работников, а также ассистентов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(при наличии). Результаты проверки оформляются в форме заключения. Апелляция 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членом ГЭК в апелляционную комиссию.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комиссия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рассматривает апелляцию и заключение о результатах проверки и выносит одно из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решений: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удовлетворении апелляции о нарушении Порядка результат ГИА, по процедуре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которого участником экзамена была подана указанная апелляция, аннулируется 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участнику экзамена предоставляется возможность повторно сдать экзамен по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соответствующему учебному предмету в резервные сроки соответствующего периода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проведения ГИА или по решению председателя ГЭК в иной день, предусмотренный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едиными расписаниями ОГЭ, ГВЭ.</w:t>
      </w:r>
    </w:p>
    <w:p w:rsidR="00EB6F9C" w:rsidRPr="00EB6F9C" w:rsidRDefault="00EB6F9C" w:rsidP="0060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нарушении Порядка в течение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двух рабочих дней, следующих за днем ее поступления в апелляционную комиссию.</w:t>
      </w:r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F9C">
        <w:rPr>
          <w:rFonts w:ascii="Times New Roman" w:hAnsi="Times New Roman" w:cs="Times New Roman"/>
          <w:b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603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рабочих дней, следующих за официальным днем объявления результатов ГИА</w:t>
      </w:r>
      <w:r w:rsidR="00603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b/>
          <w:bCs/>
          <w:sz w:val="28"/>
          <w:szCs w:val="28"/>
        </w:rPr>
        <w:t>по соответствующему учебному предмету.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Участники ГИА или их родители (законные представители) при предъявлении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 </w:t>
      </w:r>
      <w:r w:rsidRPr="00EB6F9C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 xml:space="preserve">представителями) лица при предъявлении документов, удостоверяющих </w:t>
      </w:r>
      <w:r w:rsidRPr="00EB6F9C">
        <w:rPr>
          <w:rFonts w:ascii="Times New Roman" w:hAnsi="Times New Roman" w:cs="Times New Roman"/>
          <w:sz w:val="28"/>
          <w:szCs w:val="28"/>
        </w:rPr>
        <w:lastRenderedPageBreak/>
        <w:t>личность,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доверенности подают апелляции о несогласии с выставленными баллами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образовательные организации, которыми участники ГИА были допущены к ГИА.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передает ее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апелляционную комиссию в течение одного рабочего дня после ее получения.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 заседания апелляционной комиссии по рассмотрению апелляции о несогласии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выставленными баллами апелляционная комиссия: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1) запрашивает в РЦОИ изображения экзаменационной работы, файлы, содержащие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ответы участника ГИА на задания КИМ, в том числе файлы с цифровой аудиозаписью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устных ответов участника ГИА (при наличии), копии протоколов проверки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экзаменационной работы предметной комиссией, КИМ, выполнявшийся участником ГИА,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подавшим указанную апелляцию;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2) проводит проверку качества обработки экзаменационной работы участника ГИА,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подавшего указанную апелляцию, в целях выявления технических ошибок (неверная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обработка экзаменационных работ и (или) протоколов проверки экзаменационной работы);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3) устанавливает правильность оценивания развернутых ответов (в том числе устных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ответов) участника ГИА, подавшего указанную апелляцию. Для этого к рассмотрению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апелляции привлекается эксперт предметной комиссии по соответствующему учебному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предмету, не проверявший ранее экзаменационную работу участника ГИА, подавшего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указанную апелляцию.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по соответствующему учебному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устных ответов) участника ГИА, подавшего указанную апелляцию, и дает письменное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на конкретный критерий оценивания, содержанию которого соответствует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выставляемый им первичный балл (далее – заключение).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В случае если привлеченный эксперт предметной комиссии не дает однозначного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участника ГИА, подавшего указанную апелляцию, апелляционная комиссия обращается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Комиссию по разработке КИМ по соответствующему учебному предмету с запросом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 разъяснениях по критериям оценивания.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на заседании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апелляционной комиссии материалы, указанные в подпункте 1, а также заключение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апелляции).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В случае если по решению ГЭК подача и (или) рассмотрение апелляций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Российской Федерации в области защиты персональных данных, КИМ, выполнявшийся</w:t>
      </w:r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участником ГИА, предъявляется участнику ГИА, подавшему апелляцию о несогласии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выставленными баллами, на заседании апелляционной комиссии по его предварительной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заявке, поданной одновременно с апелляцией о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несогласии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с выставленными баллами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 xml:space="preserve">(в течение двух рабочих дней, следующих за </w:t>
      </w:r>
      <w:r w:rsidRPr="00EB6F9C">
        <w:rPr>
          <w:rFonts w:ascii="Times New Roman" w:hAnsi="Times New Roman" w:cs="Times New Roman"/>
          <w:sz w:val="28"/>
          <w:szCs w:val="28"/>
        </w:rPr>
        <w:lastRenderedPageBreak/>
        <w:t>официальным днем объявления результатов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ГИА по соответствующему учебному предмету).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Участник ГИА, подавший апелляцию о несогласии с выставленными баллами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(участник ГИА, подавший апелляцию о несогласии с выставленными баллами,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не достигший возраста 14 лет, – в присутствии родителей (законных представителей),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письменно подтверждает, что ему предъявлены изображения выполненной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им экзаменационной работы, файлы, содержащие его ответы на задания КИМ, в том числе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файлы с цифровой аудиозаписью его устных ответов.</w:t>
      </w:r>
      <w:proofErr w:type="gramEnd"/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на заседании апелляционной комиссии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во время рассмотрения апелляции о несогласии с выставленными баллами в присутствии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участника ГИА, подавшего апелляцию о несогласии с выставленными баллами, и (или)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его родителей (законных представителей) или уполномоченного его родителями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(законными представителями) лица дает им соответствующие разъяснения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(при необходимости) по вопросам правильности оценивания развернутых ответов (в том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числе устных ответов) участника ГИА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апелляцию о несогласии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с выставленными баллами. Рекомендуемая продолжительность рассмотрения апелляции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 несогласии с выставленными баллами, включая разъяснения по оцениванию развернутых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ответов (в том числе устных ответов), – не более 20 минут (при необходимости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 решению апелляционной комиссии рекомендуемое время может быть увеличено).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апелляционная комиссия принимает одно из решений: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первичных баллов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может измениться как в сторону увеличения, так и в сторону уменьшения, либо не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измениться в целом.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несогласии с выставленными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баллами в течение четырех рабочих дней, следующих за днем ее поступления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апелляционную комиссию.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В случае удовлетворения апелляции информацию о выявленных технических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ошибках и (или) ошибках при проверке экзаменационной работы апелляционная комиссия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передает в РЦОИ с целью пересчета результатов ГИА.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7. По решению председателя ГЭК к ГИА по соответствующему учебному предмету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(соответствующим учебным предметам) в дополнительный период, но не ранее 1 сентября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текущего года, допускаются: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1) обучающиеся образовательных организаций и экстерны, не допущенные к ГИА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текущем учебном году, но получившие допуск к ГИА в сроки, исключающие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возможность прохождения ГИА до завершения основного периода проведения ГИА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2) участники ГИА, не прошедшие ГИА, в том числе участники ГИА, чьи результаты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ГИА по сдаваемым учебным предметам в текущем году были аннулированы по решению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председателя ГЭК в случае выявления фактов нарушения Порядка участниками ГИА;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3) участники ГИА, получившие на ГИА неудовлетворительные результаты более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чем по двум учебным предметам, либо получившие повторно неудовлетворительный</w:t>
      </w:r>
      <w:r w:rsidRPr="00EB6F9C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lastRenderedPageBreak/>
        <w:t>результат по одному или двум учебным предметам на ГИА в резервные сроки (кроме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участников ГИА, проходящих ГИА только по обязательным учебным предметам);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4) участники ГИА, проходящие ГИА только по обязательным учебным предметам,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получившие на ГИА неудовлетворительные результаты более чем по одному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обязательному учебному предмету, либо получившие повторно неудовлетворительный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результат по одному из этих предметов на ГИА в резервные сроки.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 xml:space="preserve">Заявления об участии в ГИА в дополнительный период не </w:t>
      </w:r>
      <w:proofErr w:type="gramStart"/>
      <w:r w:rsidRPr="00EB6F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чем за две недели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до начала указанного периода подаются лицами, указанными в подпунктах 1-4, лично при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предъявлении документов, удостоверяющих личность, или их родителями (законными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представителями) при предъявлении документов, удостоверяющих личность, или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уполномоченными лицами при предъявлении документов, удостоверяющих личность,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и доверенности в образовательные организации.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8.Участникам ГИА, не прошедшим ГИА, в том числе участникам ГИА, чьи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результаты ГИА по сдаваемым учебным предметам в дополнительном периоде и (или)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резервные сроки дополнительного периода были аннулированы по решению председателя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ГЭК в случае выявления фактов нарушения Порядка участниками ГИА, а также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участникам ГИА, получившим на ГИА неудовлетворительные результаты более чем по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двум учебным предметам, либо получившим повторно неудовлетворительный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 одному или двум учебным предметам на ГИА в резервные сроки дополнительного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периода, предоставляется право повторно пройти ГИА по соответствующему учебному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предмету (соответствующим учебным предметам) не ранее чем в следующем году.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9C">
        <w:rPr>
          <w:rFonts w:ascii="Times New Roman" w:hAnsi="Times New Roman" w:cs="Times New Roman"/>
          <w:sz w:val="28"/>
          <w:szCs w:val="28"/>
        </w:rPr>
        <w:t>Указанные участники ГИА вправе изменить учебные предметы по выбору для повторного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прохождения ГИА в следующем году.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9C">
        <w:rPr>
          <w:rFonts w:ascii="Times New Roman" w:hAnsi="Times New Roman" w:cs="Times New Roman"/>
          <w:sz w:val="28"/>
          <w:szCs w:val="28"/>
        </w:rPr>
        <w:t>Участникам ГИА, проходящим ГИА только по обязательным учебным предметам,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не прошедшим ГИА, в том числе участникам ГИА, чьи результаты ГИА по обязательным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учебным предметам в дополнительном периоде и (или) резервные сроки дополнительного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периода были аннулированы по решению председателя ГЭК в случае выявления фактов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нарушения Порядка участниками ГИА, а также участникам ГИА, получившим на ГИА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неудовлетворительные результаты более чем по одному</w:t>
      </w:r>
      <w:proofErr w:type="gramEnd"/>
      <w:r w:rsidRPr="00EB6F9C">
        <w:rPr>
          <w:rFonts w:ascii="Times New Roman" w:hAnsi="Times New Roman" w:cs="Times New Roman"/>
          <w:sz w:val="28"/>
          <w:szCs w:val="28"/>
        </w:rPr>
        <w:t xml:space="preserve"> обязательному учебному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предмету, либо получившим повторно неудовлетворительный результат по одному из этих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повторно пройти ГИА по соответствующему учебному предмету (соответствующим</w:t>
      </w:r>
      <w:r w:rsidR="00603BE0">
        <w:rPr>
          <w:rFonts w:ascii="Times New Roman" w:hAnsi="Times New Roman" w:cs="Times New Roman"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sz w:val="28"/>
          <w:szCs w:val="28"/>
        </w:rPr>
        <w:t>учебным предметам) не ранее чем в следующем году.</w:t>
      </w:r>
    </w:p>
    <w:p w:rsidR="00EB6F9C" w:rsidRPr="00EB6F9C" w:rsidRDefault="00EB6F9C" w:rsidP="00EB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6F9C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подготовлена в соответствии с приказом </w:t>
      </w:r>
      <w:proofErr w:type="spellStart"/>
      <w:r w:rsidRPr="00EB6F9C">
        <w:rPr>
          <w:rFonts w:ascii="Times New Roman" w:hAnsi="Times New Roman" w:cs="Times New Roman"/>
          <w:i/>
          <w:iCs/>
          <w:sz w:val="28"/>
          <w:szCs w:val="28"/>
        </w:rPr>
        <w:t>Минпросвещения</w:t>
      </w:r>
      <w:proofErr w:type="spellEnd"/>
      <w:r w:rsidRPr="00EB6F9C">
        <w:rPr>
          <w:rFonts w:ascii="Times New Roman" w:hAnsi="Times New Roman" w:cs="Times New Roman"/>
          <w:i/>
          <w:iCs/>
          <w:sz w:val="28"/>
          <w:szCs w:val="28"/>
        </w:rPr>
        <w:t xml:space="preserve"> России</w:t>
      </w:r>
      <w:r w:rsidR="00603B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EB6F9C">
        <w:rPr>
          <w:rFonts w:ascii="Times New Roman" w:hAnsi="Times New Roman" w:cs="Times New Roman"/>
          <w:i/>
          <w:iCs/>
          <w:sz w:val="28"/>
          <w:szCs w:val="28"/>
        </w:rPr>
        <w:t>Рособрнадзора</w:t>
      </w:r>
      <w:proofErr w:type="spellEnd"/>
      <w:r w:rsidRPr="00EB6F9C">
        <w:rPr>
          <w:rFonts w:ascii="Times New Roman" w:hAnsi="Times New Roman" w:cs="Times New Roman"/>
          <w:i/>
          <w:iCs/>
          <w:sz w:val="28"/>
          <w:szCs w:val="28"/>
        </w:rPr>
        <w:t xml:space="preserve"> № 232/551 от 04.04.2023 «Об утверждении Порядка проведения</w:t>
      </w:r>
      <w:r w:rsidR="00603B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i/>
          <w:iCs/>
          <w:sz w:val="28"/>
          <w:szCs w:val="28"/>
        </w:rPr>
        <w:t>государственной итоговой аттестации по образовательным программам основного</w:t>
      </w:r>
      <w:r w:rsidR="00603B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i/>
          <w:iCs/>
          <w:sz w:val="28"/>
          <w:szCs w:val="28"/>
        </w:rPr>
        <w:t>общего образования» (</w:t>
      </w:r>
      <w:proofErr w:type="gramStart"/>
      <w:r w:rsidRPr="00EB6F9C">
        <w:rPr>
          <w:rFonts w:ascii="Times New Roman" w:hAnsi="Times New Roman" w:cs="Times New Roman"/>
          <w:i/>
          <w:iCs/>
          <w:sz w:val="28"/>
          <w:szCs w:val="28"/>
        </w:rPr>
        <w:t>зарегистрирован</w:t>
      </w:r>
      <w:proofErr w:type="gramEnd"/>
      <w:r w:rsidRPr="00EB6F9C">
        <w:rPr>
          <w:rFonts w:ascii="Times New Roman" w:hAnsi="Times New Roman" w:cs="Times New Roman"/>
          <w:i/>
          <w:iCs/>
          <w:sz w:val="28"/>
          <w:szCs w:val="28"/>
        </w:rPr>
        <w:t xml:space="preserve"> Минюстом России 12.05.2023, регистрационный</w:t>
      </w:r>
      <w:r w:rsidR="00603B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6F9C">
        <w:rPr>
          <w:rFonts w:ascii="Times New Roman" w:hAnsi="Times New Roman" w:cs="Times New Roman"/>
          <w:i/>
          <w:iCs/>
          <w:sz w:val="28"/>
          <w:szCs w:val="28"/>
        </w:rPr>
        <w:t>№ 73292).</w:t>
      </w:r>
    </w:p>
    <w:p w:rsidR="00BF34EA" w:rsidRPr="00BF34EA" w:rsidRDefault="00BF34EA" w:rsidP="00BF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F34EA">
        <w:rPr>
          <w:rFonts w:ascii="Times New Roman" w:hAnsi="Times New Roman" w:cs="Times New Roman"/>
          <w:color w:val="000000"/>
          <w:sz w:val="26"/>
          <w:szCs w:val="26"/>
        </w:rPr>
        <w:t xml:space="preserve">С правилами проведения </w:t>
      </w:r>
      <w:r w:rsidR="00427B7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F34EA">
        <w:rPr>
          <w:rFonts w:ascii="Times New Roman" w:hAnsi="Times New Roman" w:cs="Times New Roman"/>
          <w:color w:val="000000"/>
          <w:sz w:val="26"/>
          <w:szCs w:val="26"/>
        </w:rPr>
        <w:t xml:space="preserve">ГЭ ознакомлены: </w:t>
      </w:r>
    </w:p>
    <w:p w:rsidR="00BF34EA" w:rsidRDefault="00BF34EA" w:rsidP="00EB6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394"/>
        <w:gridCol w:w="1276"/>
        <w:gridCol w:w="1559"/>
        <w:gridCol w:w="1276"/>
        <w:gridCol w:w="1559"/>
      </w:tblGrid>
      <w:tr w:rsidR="00BF34EA" w:rsidTr="00427B75">
        <w:tc>
          <w:tcPr>
            <w:tcW w:w="852" w:type="dxa"/>
          </w:tcPr>
          <w:p w:rsidR="00BF34EA" w:rsidRDefault="00BF34EA" w:rsidP="008D48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BF34EA" w:rsidRDefault="00BF34EA" w:rsidP="00BF34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участника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ГЭ</w:t>
            </w:r>
          </w:p>
        </w:tc>
        <w:tc>
          <w:tcPr>
            <w:tcW w:w="1276" w:type="dxa"/>
          </w:tcPr>
          <w:p w:rsidR="00BF34EA" w:rsidRDefault="00BF34EA" w:rsidP="008D48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BF34EA" w:rsidRDefault="00BF34EA" w:rsidP="008D48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участника</w:t>
            </w:r>
          </w:p>
        </w:tc>
        <w:tc>
          <w:tcPr>
            <w:tcW w:w="1276" w:type="dxa"/>
          </w:tcPr>
          <w:p w:rsidR="00BF34EA" w:rsidRDefault="00BF34EA" w:rsidP="008D48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BF34EA" w:rsidRDefault="00BF34EA" w:rsidP="008D482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родителя</w:t>
            </w: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  <w:tr w:rsidR="0098471E" w:rsidTr="007B6121">
        <w:tc>
          <w:tcPr>
            <w:tcW w:w="852" w:type="dxa"/>
          </w:tcPr>
          <w:p w:rsidR="0098471E" w:rsidRPr="009D31E0" w:rsidRDefault="0098471E" w:rsidP="008D482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394" w:type="dxa"/>
            <w:vAlign w:val="center"/>
          </w:tcPr>
          <w:p w:rsidR="0098471E" w:rsidRPr="00067C51" w:rsidRDefault="0098471E" w:rsidP="008D482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71E" w:rsidRDefault="0098471E" w:rsidP="008D482D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F34EA" w:rsidRDefault="00BF34EA" w:rsidP="00EB6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EA" w:rsidRDefault="00BF34EA" w:rsidP="00EB6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EA" w:rsidRDefault="00BF34EA" w:rsidP="00EB6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4EA" w:rsidSect="00EB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7A2D"/>
    <w:multiLevelType w:val="hybridMultilevel"/>
    <w:tmpl w:val="C3D4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9C"/>
    <w:rsid w:val="00427B75"/>
    <w:rsid w:val="005C52CE"/>
    <w:rsid w:val="00603BE0"/>
    <w:rsid w:val="00845E4A"/>
    <w:rsid w:val="0098471E"/>
    <w:rsid w:val="00BF34EA"/>
    <w:rsid w:val="00E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SSA</cp:lastModifiedBy>
  <cp:revision>3</cp:revision>
  <cp:lastPrinted>2025-01-27T09:32:00Z</cp:lastPrinted>
  <dcterms:created xsi:type="dcterms:W3CDTF">2025-01-27T09:01:00Z</dcterms:created>
  <dcterms:modified xsi:type="dcterms:W3CDTF">2025-01-27T09:37:00Z</dcterms:modified>
</cp:coreProperties>
</file>